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2B48BEC" w:rsidR="00F92268" w:rsidRPr="00FF66BF" w:rsidRDefault="00593A9A" w:rsidP="00F246C7">
            <w:pPr>
              <w:pStyle w:val="RefTableHeader"/>
            </w:pPr>
            <w:r w:rsidRPr="00593A9A">
              <w:t>1859-A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618D5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2EA5A46" w:rsidR="004B15BB" w:rsidRPr="00BD1CC1" w:rsidRDefault="009A00F6" w:rsidP="007E5C16">
      <w:pPr>
        <w:pStyle w:val="Heading1"/>
      </w:pPr>
      <w:r w:rsidRPr="009A00F6">
        <w:t>Specialty Guideline Management</w:t>
      </w:r>
      <w:r w:rsidR="008C54D9" w:rsidRPr="00BD1CC1">
        <w:br/>
      </w:r>
      <w:proofErr w:type="spellStart"/>
      <w:r w:rsidR="00D05849">
        <w:t>r</w:t>
      </w:r>
      <w:r w:rsidR="00D05849" w:rsidRPr="009A00F6">
        <w:t>omidepsin</w:t>
      </w:r>
      <w:r w:rsidR="00627ABB">
        <w:t>-</w:t>
      </w:r>
      <w:r w:rsidR="00D05849" w:rsidRPr="009A00F6">
        <w:t>Istodax</w:t>
      </w:r>
      <w:proofErr w:type="spellEnd"/>
    </w:p>
    <w:p w14:paraId="78861C92" w14:textId="74927C4D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2B78FE2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966637" w:rsidRPr="00BD1CC1">
        <w:t>O</w:t>
      </w:r>
      <w:r w:rsidR="00966637">
        <w:t>ver-the-counter</w:t>
      </w:r>
      <w:r w:rsidR="00966637" w:rsidRPr="00BD1CC1">
        <w:t xml:space="preserve"> </w:t>
      </w:r>
      <w:r w:rsidR="00966637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8250D8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8250D8">
        <w:trPr>
          <w:cantSplit/>
        </w:trPr>
        <w:tc>
          <w:tcPr>
            <w:tcW w:w="5265" w:type="dxa"/>
          </w:tcPr>
          <w:p w14:paraId="2D8FA8E3" w14:textId="471798F5" w:rsidR="00585FFF" w:rsidRPr="00BD1CC1" w:rsidRDefault="009A00F6" w:rsidP="008250D8">
            <w:pPr>
              <w:pStyle w:val="TableData"/>
            </w:pPr>
            <w:r w:rsidRPr="009A00F6">
              <w:t>Istodax</w:t>
            </w:r>
          </w:p>
        </w:tc>
        <w:tc>
          <w:tcPr>
            <w:tcW w:w="5595" w:type="dxa"/>
          </w:tcPr>
          <w:p w14:paraId="7E26A004" w14:textId="588E2C13" w:rsidR="00585FFF" w:rsidRPr="00BD1CC1" w:rsidRDefault="009A00F6" w:rsidP="008250D8">
            <w:pPr>
              <w:pStyle w:val="TableData"/>
            </w:pPr>
            <w:r w:rsidRPr="009A00F6">
              <w:t>romidepsin</w:t>
            </w:r>
          </w:p>
        </w:tc>
      </w:tr>
    </w:tbl>
    <w:bookmarkEnd w:id="0"/>
    <w:p w14:paraId="14CE6108" w14:textId="7D696B55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20748FA5" w14:textId="32F8853B" w:rsidR="009A00F6" w:rsidRPr="009A00F6" w:rsidRDefault="009A00F6" w:rsidP="009A00F6">
      <w:pPr>
        <w:pStyle w:val="BodyText"/>
      </w:pPr>
      <w:r w:rsidRPr="009A00F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5F965E0" w:rsidR="00ED052F" w:rsidRPr="00BD1CC1" w:rsidRDefault="00ED052F" w:rsidP="00ED052F">
      <w:pPr>
        <w:pStyle w:val="Heading3"/>
        <w:keepNext w:val="0"/>
      </w:pPr>
      <w:r w:rsidRPr="00BD1CC1">
        <w:t>FDA-</w:t>
      </w:r>
      <w:r w:rsidR="009166C5">
        <w:t>A</w:t>
      </w:r>
      <w:r w:rsidRPr="00BD1CC1">
        <w:t>pproved Indications</w:t>
      </w:r>
      <w:r w:rsidR="009166C5" w:rsidRPr="009166C5">
        <w:rPr>
          <w:vertAlign w:val="superscript"/>
        </w:rPr>
        <w:t>1,2</w:t>
      </w:r>
    </w:p>
    <w:p w14:paraId="4C434745" w14:textId="5268250D" w:rsidR="00ED052F" w:rsidRDefault="009A00F6" w:rsidP="00ED052F">
      <w:pPr>
        <w:pStyle w:val="BodyText"/>
      </w:pPr>
      <w:r w:rsidRPr="009A00F6">
        <w:t>Istodax is indicated for the treatment of cutaneous T-cell lymphoma (CTCL) in adult patients who have received at least one prior systemic therapy</w:t>
      </w:r>
    </w:p>
    <w:p w14:paraId="0B5EC236" w14:textId="36D46050" w:rsidR="0044763A" w:rsidRPr="009166C5" w:rsidRDefault="009F2EF1" w:rsidP="0044763A">
      <w:pPr>
        <w:pStyle w:val="Heading3"/>
      </w:pPr>
      <w:r>
        <w:t>Compendial Uses</w:t>
      </w:r>
      <w:r w:rsidR="009166C5" w:rsidRPr="009166C5">
        <w:rPr>
          <w:vertAlign w:val="superscript"/>
        </w:rPr>
        <w:t>3</w:t>
      </w:r>
    </w:p>
    <w:p w14:paraId="6215B04A" w14:textId="77777777" w:rsidR="009A00F6" w:rsidRPr="00FA31D0" w:rsidRDefault="009A00F6" w:rsidP="009A00F6">
      <w:pPr>
        <w:pStyle w:val="ListParagraph"/>
        <w:rPr>
          <w:lang w:val="sv-SE"/>
        </w:rPr>
      </w:pPr>
      <w:r w:rsidRPr="00FA31D0">
        <w:rPr>
          <w:lang w:val="sv-SE"/>
        </w:rPr>
        <w:t>Mycosis fungoides (MF)/Sézary syndrome (SS)</w:t>
      </w:r>
    </w:p>
    <w:p w14:paraId="0D5A9DD5" w14:textId="6114E04A" w:rsidR="009A5649" w:rsidRDefault="009A00F6" w:rsidP="00614D2F">
      <w:pPr>
        <w:pStyle w:val="ListParagraph"/>
        <w:spacing w:after="120"/>
        <w:rPr>
          <w:lang w:val="fr-FR"/>
        </w:rPr>
      </w:pPr>
      <w:proofErr w:type="spellStart"/>
      <w:r w:rsidRPr="009166C5">
        <w:rPr>
          <w:lang w:val="fr-FR"/>
        </w:rPr>
        <w:t>Peripheral</w:t>
      </w:r>
      <w:proofErr w:type="spellEnd"/>
      <w:r w:rsidRPr="009166C5">
        <w:rPr>
          <w:lang w:val="fr-FR"/>
        </w:rPr>
        <w:t xml:space="preserve"> T-</w:t>
      </w:r>
      <w:proofErr w:type="spellStart"/>
      <w:r w:rsidRPr="009166C5">
        <w:rPr>
          <w:lang w:val="fr-FR"/>
        </w:rPr>
        <w:t>Cell</w:t>
      </w:r>
      <w:proofErr w:type="spellEnd"/>
      <w:r w:rsidRPr="009166C5">
        <w:rPr>
          <w:lang w:val="fr-FR"/>
        </w:rPr>
        <w:t xml:space="preserve"> </w:t>
      </w:r>
      <w:proofErr w:type="spellStart"/>
      <w:r w:rsidRPr="009166C5">
        <w:rPr>
          <w:lang w:val="fr-FR"/>
        </w:rPr>
        <w:t>Lymphoma</w:t>
      </w:r>
      <w:proofErr w:type="spellEnd"/>
      <w:r w:rsidRPr="009166C5">
        <w:rPr>
          <w:lang w:val="fr-FR"/>
        </w:rPr>
        <w:t xml:space="preserve"> (PTCL)</w:t>
      </w:r>
    </w:p>
    <w:p w14:paraId="2462702F" w14:textId="77777777" w:rsidR="00614D2F" w:rsidRDefault="00614D2F" w:rsidP="00614D2F">
      <w:pPr>
        <w:pStyle w:val="BodyText"/>
      </w:pPr>
      <w:r>
        <w:t>All other indications are considered experimental/investigational and</w:t>
      </w:r>
      <w:r w:rsidRPr="008D1D8B">
        <w:t xml:space="preserve"> not </w:t>
      </w:r>
      <w:r>
        <w:t>medically necessary</w:t>
      </w:r>
      <w:r w:rsidRPr="008D1D8B">
        <w:t>.</w:t>
      </w:r>
    </w:p>
    <w:p w14:paraId="50A38FBA" w14:textId="5047A9B8" w:rsidR="00FE0C63" w:rsidRPr="009166C5" w:rsidRDefault="00685107" w:rsidP="00593A9A">
      <w:pPr>
        <w:pStyle w:val="Heading2"/>
        <w:tabs>
          <w:tab w:val="left" w:pos="9036"/>
        </w:tabs>
      </w:pPr>
      <w:r>
        <w:lastRenderedPageBreak/>
        <w:t>Coverage Criteria</w:t>
      </w:r>
    </w:p>
    <w:p w14:paraId="0156D92F" w14:textId="53925C1F" w:rsidR="009A00F6" w:rsidRPr="009A00F6" w:rsidRDefault="009A00F6" w:rsidP="009A00F6">
      <w:pPr>
        <w:pStyle w:val="Heading3"/>
      </w:pPr>
      <w:r w:rsidRPr="009A00F6">
        <w:t>Cutaneous T</w:t>
      </w:r>
      <w:r w:rsidR="009166C5" w:rsidRPr="009A00F6">
        <w:t>-Cell Lymphoma (</w:t>
      </w:r>
      <w:r w:rsidRPr="009A00F6">
        <w:t>CTCL</w:t>
      </w:r>
      <w:r w:rsidR="009166C5" w:rsidRPr="009A00F6">
        <w:t>)</w:t>
      </w:r>
      <w:r w:rsidR="009166C5" w:rsidRPr="009166C5">
        <w:rPr>
          <w:vertAlign w:val="superscript"/>
        </w:rPr>
        <w:t>1-3</w:t>
      </w:r>
    </w:p>
    <w:p w14:paraId="70942927" w14:textId="41B5B254" w:rsidR="009A00F6" w:rsidRPr="009A00F6" w:rsidRDefault="009A00F6" w:rsidP="009A00F6">
      <w:pPr>
        <w:pStyle w:val="BodyText"/>
      </w:pPr>
      <w:r w:rsidRPr="009A00F6">
        <w:t>Authorization of 12 months may be granted for treatment of CTCL (e.g., mycosis fungoides, Sézary syndrome, primary cutaneous anaplastic large cell lymphoma</w:t>
      </w:r>
      <w:r w:rsidR="004A6BE7">
        <w:t xml:space="preserve">, </w:t>
      </w:r>
      <w:r w:rsidR="00D21995">
        <w:t xml:space="preserve">subcutaneous </w:t>
      </w:r>
      <w:r w:rsidR="004A6BE7">
        <w:t>panniculitis-like T-cell lymphoma</w:t>
      </w:r>
      <w:r w:rsidRPr="009A00F6">
        <w:t>).</w:t>
      </w:r>
    </w:p>
    <w:p w14:paraId="7EFBBC05" w14:textId="53DF8359" w:rsidR="009A00F6" w:rsidRPr="009A00F6" w:rsidRDefault="009A00F6" w:rsidP="009A00F6">
      <w:pPr>
        <w:pStyle w:val="Heading3"/>
      </w:pPr>
      <w:r w:rsidRPr="009A00F6">
        <w:t>Peripheral T</w:t>
      </w:r>
      <w:r w:rsidR="009166C5" w:rsidRPr="009A00F6">
        <w:t>-Cell Lymphoma (</w:t>
      </w:r>
      <w:r w:rsidRPr="009A00F6">
        <w:t>PTCL</w:t>
      </w:r>
      <w:r w:rsidR="009166C5" w:rsidRPr="009A00F6">
        <w:t>)</w:t>
      </w:r>
      <w:r w:rsidR="009166C5" w:rsidRPr="00FA31D0">
        <w:rPr>
          <w:vertAlign w:val="superscript"/>
        </w:rPr>
        <w:t>3</w:t>
      </w:r>
      <w:r w:rsidR="009166C5" w:rsidRPr="009A00F6">
        <w:t xml:space="preserve"> (See </w:t>
      </w:r>
      <w:r w:rsidRPr="009A00F6">
        <w:t>Appendix</w:t>
      </w:r>
      <w:r w:rsidR="009166C5" w:rsidRPr="009A00F6">
        <w:t>)</w:t>
      </w:r>
    </w:p>
    <w:p w14:paraId="554B6E8F" w14:textId="1A68F997" w:rsidR="00B836B0" w:rsidRPr="009A00F6" w:rsidRDefault="009A00F6" w:rsidP="009A00F6">
      <w:pPr>
        <w:pStyle w:val="BodyText"/>
      </w:pPr>
      <w:r w:rsidRPr="009A00F6">
        <w:t>Authorization of 12 months may be granted for treatment of PTCL.</w:t>
      </w:r>
    </w:p>
    <w:p w14:paraId="3A643EC3" w14:textId="7F06C254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30CB8C26" w:rsidR="00A501AC" w:rsidRPr="003D46B0" w:rsidRDefault="009A00F6" w:rsidP="003D46B0">
      <w:pPr>
        <w:pStyle w:val="BodyText"/>
      </w:pPr>
      <w:r w:rsidRPr="009A00F6">
        <w:t xml:space="preserve">Authorization of 12 months may be granted for continued treatment in members requesting reauthorization for an indication listed in </w:t>
      </w:r>
      <w:r w:rsidR="00D03AA7">
        <w:t>the Coverage Criteria section</w:t>
      </w:r>
      <w:r w:rsidRPr="009A00F6">
        <w:t xml:space="preserve"> when there is no evidence of unacceptable toxicity or disease progression while on the current regimen.</w:t>
      </w:r>
    </w:p>
    <w:p w14:paraId="784D6ED7" w14:textId="648311AF" w:rsidR="008B1332" w:rsidRPr="00D21995" w:rsidRDefault="00B65538" w:rsidP="008B1332">
      <w:pPr>
        <w:pStyle w:val="Heading2"/>
      </w:pPr>
      <w:r w:rsidRPr="00D21995">
        <w:t>Appendix</w:t>
      </w:r>
      <w:r w:rsidR="009166C5" w:rsidRPr="00D21995">
        <w:t xml:space="preserve">: </w:t>
      </w:r>
      <w:r w:rsidR="009A00F6" w:rsidRPr="00D21995">
        <w:t xml:space="preserve">PTCL </w:t>
      </w:r>
      <w:r w:rsidR="009166C5" w:rsidRPr="00D21995">
        <w:t>Subtypes</w:t>
      </w:r>
      <w:r w:rsidR="009166C5" w:rsidRPr="00D21995">
        <w:rPr>
          <w:vertAlign w:val="superscript"/>
        </w:rPr>
        <w:t>3</w:t>
      </w:r>
    </w:p>
    <w:p w14:paraId="0AF56C4B" w14:textId="77777777" w:rsidR="00593A9A" w:rsidRPr="00D21995" w:rsidRDefault="00593A9A" w:rsidP="00593A9A">
      <w:pPr>
        <w:pStyle w:val="ListParagraph"/>
      </w:pPr>
      <w:r w:rsidRPr="00D21995">
        <w:t>Peripheral T-cell lymphoma not otherwise specified (PTCL-NOS)</w:t>
      </w:r>
    </w:p>
    <w:p w14:paraId="044839FD" w14:textId="77777777" w:rsidR="00593A9A" w:rsidRPr="00D21995" w:rsidRDefault="00593A9A" w:rsidP="00593A9A">
      <w:pPr>
        <w:pStyle w:val="ListParagraph"/>
      </w:pPr>
      <w:r w:rsidRPr="00D21995">
        <w:t>Angioimmunoblastic T-cell lymphoma (AITL)</w:t>
      </w:r>
    </w:p>
    <w:p w14:paraId="61E54FFD" w14:textId="77777777" w:rsidR="00593A9A" w:rsidRPr="00D21995" w:rsidRDefault="00593A9A" w:rsidP="00593A9A">
      <w:pPr>
        <w:pStyle w:val="ListParagraph"/>
      </w:pPr>
      <w:r w:rsidRPr="00D21995">
        <w:t>Anaplastic large cell lymphoma (ALCL)</w:t>
      </w:r>
    </w:p>
    <w:p w14:paraId="353A75C7" w14:textId="77777777" w:rsidR="00593A9A" w:rsidRPr="00D21995" w:rsidRDefault="00593A9A" w:rsidP="00593A9A">
      <w:pPr>
        <w:pStyle w:val="ListParagraph"/>
      </w:pPr>
      <w:r w:rsidRPr="00D21995">
        <w:t>Breast Implant-Associated anaplastic large cell lymphoma (BIA-ALCL)</w:t>
      </w:r>
    </w:p>
    <w:p w14:paraId="1EC5171B" w14:textId="77777777" w:rsidR="00593A9A" w:rsidRPr="00D21995" w:rsidRDefault="00593A9A" w:rsidP="00593A9A">
      <w:pPr>
        <w:pStyle w:val="ListParagraph"/>
      </w:pPr>
      <w:r w:rsidRPr="00D21995">
        <w:t>Enteropathy-associated T-cell lymphoma (EATL)</w:t>
      </w:r>
    </w:p>
    <w:p w14:paraId="0A14290C" w14:textId="77777777" w:rsidR="00593A9A" w:rsidRPr="00D21995" w:rsidRDefault="00593A9A" w:rsidP="00593A9A">
      <w:pPr>
        <w:pStyle w:val="ListParagraph"/>
      </w:pPr>
      <w:r w:rsidRPr="00D21995">
        <w:t>Monomorphic epitheliotropic intestinal T-cell lymphoma (MEITL)</w:t>
      </w:r>
    </w:p>
    <w:p w14:paraId="42777AB7" w14:textId="77777777" w:rsidR="00593A9A" w:rsidRPr="00D21995" w:rsidRDefault="00593A9A" w:rsidP="00593A9A">
      <w:pPr>
        <w:pStyle w:val="ListParagraph"/>
      </w:pPr>
      <w:r w:rsidRPr="00D21995">
        <w:t>Nodal peripheral T-cell lymphoma with TFH phenotype (PTCL, TFH)</w:t>
      </w:r>
    </w:p>
    <w:p w14:paraId="7CAB91A6" w14:textId="77777777" w:rsidR="00593A9A" w:rsidRPr="00D21995" w:rsidRDefault="00593A9A" w:rsidP="00593A9A">
      <w:pPr>
        <w:pStyle w:val="ListParagraph"/>
      </w:pPr>
      <w:r w:rsidRPr="00D21995">
        <w:t>Follicular T-cell lymphoma (FTCL)</w:t>
      </w:r>
    </w:p>
    <w:p w14:paraId="5CFF7EF8" w14:textId="77777777" w:rsidR="00593A9A" w:rsidRPr="00D21995" w:rsidRDefault="00593A9A" w:rsidP="00593A9A">
      <w:pPr>
        <w:pStyle w:val="ListParagraph"/>
      </w:pPr>
      <w:r w:rsidRPr="00D21995">
        <w:t>Extranodal NK/T-cell lymphoma (ENKL)</w:t>
      </w:r>
    </w:p>
    <w:p w14:paraId="07B8F64F" w14:textId="5D3802AA" w:rsidR="00991C25" w:rsidRPr="00593A9A" w:rsidRDefault="00593A9A" w:rsidP="00593A9A">
      <w:pPr>
        <w:pStyle w:val="ListParagraph"/>
      </w:pPr>
      <w:r w:rsidRPr="00D21995">
        <w:t>Hepatosplenic T-cell lymphoma (HSTCL)</w:t>
      </w:r>
    </w:p>
    <w:p w14:paraId="10DA4309" w14:textId="415A1ECE" w:rsidR="00FF66BF" w:rsidRPr="008D1B34" w:rsidRDefault="00FF66BF" w:rsidP="00FF66BF">
      <w:pPr>
        <w:pStyle w:val="Heading2"/>
      </w:pPr>
      <w:r w:rsidRPr="008D1B34">
        <w:t>References</w:t>
      </w:r>
    </w:p>
    <w:p w14:paraId="6B4204D5" w14:textId="395C9C47" w:rsidR="00593A9A" w:rsidRDefault="00593A9A" w:rsidP="00593A9A">
      <w:pPr>
        <w:pStyle w:val="ReferenceOrdered"/>
      </w:pPr>
      <w:r>
        <w:t>Istodax [package insert]. Summit, NJ: Celgene Corp.; January 2023.</w:t>
      </w:r>
    </w:p>
    <w:p w14:paraId="5EC04F65" w14:textId="77777777" w:rsidR="00593A9A" w:rsidRDefault="00593A9A" w:rsidP="00593A9A">
      <w:pPr>
        <w:pStyle w:val="ReferenceOrdered"/>
      </w:pPr>
      <w:r>
        <w:t>Romidepsin [package insert]. North Wales, PA: Teva Pharmaceuticals USA, Inc.; December 2021.</w:t>
      </w:r>
    </w:p>
    <w:p w14:paraId="26E25A0F" w14:textId="7C56C9C7" w:rsidR="00FF66BF" w:rsidRDefault="00593A9A" w:rsidP="00593A9A">
      <w:pPr>
        <w:pStyle w:val="ReferenceOrdered"/>
      </w:pPr>
      <w:r>
        <w:t xml:space="preserve">The NCCN Drugs &amp; Biologics Compendium® © 2024 National Comprehensive Cancer Network, Inc. https://www.nccn.org. Accessed </w:t>
      </w:r>
      <w:r w:rsidR="00991C25">
        <w:t>November 14</w:t>
      </w:r>
      <w:r>
        <w:t>, 2024.</w:t>
      </w:r>
    </w:p>
    <w:sectPr w:rsidR="00FF66BF" w:rsidSect="008E6EFE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7A9CF" w14:textId="77777777" w:rsidR="00DC2BCA" w:rsidRDefault="00DC2BCA">
      <w:r>
        <w:separator/>
      </w:r>
    </w:p>
  </w:endnote>
  <w:endnote w:type="continuationSeparator" w:id="0">
    <w:p w14:paraId="263FFBFF" w14:textId="77777777" w:rsidR="00DC2BCA" w:rsidRDefault="00DC2BCA">
      <w:r>
        <w:continuationSeparator/>
      </w:r>
    </w:p>
  </w:endnote>
  <w:endnote w:type="continuationNotice" w:id="1">
    <w:p w14:paraId="164CEE66" w14:textId="77777777" w:rsidR="00DC2BCA" w:rsidRDefault="00DC2B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58EC501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C2322" w:rsidRPr="00DC2322">
      <w:rPr>
        <w:rFonts w:cs="Arial"/>
        <w:noProof/>
        <w:sz w:val="16"/>
        <w:szCs w:val="16"/>
      </w:rPr>
      <w:t>romidepsin-Istodax</w:t>
    </w:r>
    <w:r w:rsidR="00DC2322">
      <w:rPr>
        <w:rFonts w:cs="Arial"/>
        <w:noProof/>
        <w:snapToGrid w:val="0"/>
        <w:color w:val="000000"/>
        <w:sz w:val="16"/>
        <w:szCs w:val="16"/>
      </w:rPr>
      <w:t xml:space="preserve"> SGM 1859-A</w:t>
    </w:r>
    <w:r w:rsidR="00DC2322" w:rsidRPr="00DC2322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91C25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73BF748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0B8D579" w:rsidR="00F75C81" w:rsidRPr="00AA1E6A" w:rsidRDefault="00C36B72" w:rsidP="008957A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F7D76C8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C2322" w:rsidRPr="00DC2322">
      <w:rPr>
        <w:rFonts w:cs="Arial"/>
        <w:noProof/>
        <w:sz w:val="16"/>
        <w:szCs w:val="16"/>
      </w:rPr>
      <w:t>romidepsin-Istodax</w:t>
    </w:r>
    <w:r w:rsidR="00DC2322">
      <w:rPr>
        <w:rFonts w:cs="Arial"/>
        <w:noProof/>
        <w:snapToGrid w:val="0"/>
        <w:color w:val="000000"/>
        <w:sz w:val="16"/>
        <w:szCs w:val="16"/>
      </w:rPr>
      <w:t xml:space="preserve"> SGM 1859-A</w:t>
    </w:r>
    <w:r w:rsidR="00DC2322" w:rsidRPr="00DC2322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91C25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84ED1AF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42599C7" w:rsidR="00ED04EC" w:rsidRPr="00F50D98" w:rsidRDefault="00F50D98" w:rsidP="008957A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322F4" w14:textId="32CE9EF9" w:rsidR="00D05849" w:rsidRPr="00EC47B6" w:rsidRDefault="00D05849" w:rsidP="00D05849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935AFC">
      <w:rPr>
        <w:rFonts w:cs="Arial"/>
        <w:noProof/>
        <w:sz w:val="16"/>
        <w:szCs w:val="16"/>
      </w:rPr>
      <w:t>romidepsin-Istodax</w:t>
    </w:r>
    <w:r>
      <w:rPr>
        <w:rFonts w:cs="Arial"/>
        <w:noProof/>
        <w:snapToGrid w:val="0"/>
        <w:color w:val="000000"/>
        <w:sz w:val="16"/>
        <w:szCs w:val="16"/>
      </w:rPr>
      <w:t xml:space="preserve"> SGM 1859-A</w:t>
    </w:r>
    <w:r w:rsidRPr="00935AFC">
      <w:rPr>
        <w:rFonts w:cs="Arial"/>
        <w:noProof/>
        <w:sz w:val="16"/>
        <w:szCs w:val="16"/>
      </w:rPr>
      <w:t xml:space="preserve"> 202</w:t>
    </w:r>
    <w:r w:rsidR="00991C25">
      <w:rPr>
        <w:rFonts w:cs="Arial"/>
        <w:noProof/>
        <w:sz w:val="16"/>
        <w:szCs w:val="16"/>
      </w:rPr>
      <w:t>5</w:t>
    </w:r>
    <w:r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91C25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79D0BCE9" w14:textId="77777777" w:rsidR="00D05849" w:rsidRPr="00EC47B6" w:rsidRDefault="00D05849" w:rsidP="00D05849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06D1674" w14:textId="66DE9BA4" w:rsidR="000F5383" w:rsidRPr="00F50D98" w:rsidRDefault="00D05849" w:rsidP="008957A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DD0AA" w14:textId="77777777" w:rsidR="00DC2BCA" w:rsidRDefault="00DC2BCA">
      <w:r>
        <w:separator/>
      </w:r>
    </w:p>
  </w:footnote>
  <w:footnote w:type="continuationSeparator" w:id="0">
    <w:p w14:paraId="048D734D" w14:textId="77777777" w:rsidR="00DC2BCA" w:rsidRDefault="00DC2BCA">
      <w:r>
        <w:continuationSeparator/>
      </w:r>
    </w:p>
  </w:footnote>
  <w:footnote w:type="continuationNotice" w:id="1">
    <w:p w14:paraId="582A55E2" w14:textId="77777777" w:rsidR="00DC2BCA" w:rsidRDefault="00DC2B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7767D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E7767D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E7767D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7767D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7F814FE2" w:rsidR="00ED04EC" w:rsidRPr="00E7767D" w:rsidRDefault="008E6EFE" w:rsidP="00ED04EC">
          <w:pPr>
            <w:pStyle w:val="Header"/>
            <w:rPr>
              <w:rFonts w:cs="Arial"/>
              <w:sz w:val="16"/>
              <w:szCs w:val="16"/>
            </w:rPr>
          </w:pPr>
          <w:r w:rsidRPr="00E7767D">
            <w:rPr>
              <w:rFonts w:cs="Arial"/>
              <w:sz w:val="16"/>
              <w:szCs w:val="16"/>
            </w:rPr>
            <w:t>1859-A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>
      <w:trPr>
        <w:trHeight w:val="378"/>
        <w:jc w:val="right"/>
      </w:trPr>
      <w:tc>
        <w:tcPr>
          <w:tcW w:w="1854" w:type="dxa"/>
          <w:hideMark/>
        </w:tcPr>
        <w:p w14:paraId="475EFE95" w14:textId="2DFFC2D0" w:rsidR="000F5383" w:rsidRPr="00FF66BF" w:rsidRDefault="00593A9A" w:rsidP="009E1F57">
          <w:pPr>
            <w:pStyle w:val="RefTableHeader"/>
          </w:pPr>
          <w:r w:rsidRPr="00593A9A">
            <w:t>1859-A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1"/>
  </w:num>
  <w:num w:numId="3" w16cid:durableId="611589570">
    <w:abstractNumId w:val="1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3"/>
  </w:num>
  <w:num w:numId="18" w16cid:durableId="299724409">
    <w:abstractNumId w:val="18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4"/>
  </w:num>
  <w:num w:numId="22" w16cid:durableId="1472481103">
    <w:abstractNumId w:val="20"/>
  </w:num>
  <w:num w:numId="23" w16cid:durableId="1997420403">
    <w:abstractNumId w:val="22"/>
  </w:num>
  <w:num w:numId="24" w16cid:durableId="33312838">
    <w:abstractNumId w:val="19"/>
  </w:num>
  <w:num w:numId="25" w16cid:durableId="507404939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671C"/>
    <w:rsid w:val="00057358"/>
    <w:rsid w:val="00057C68"/>
    <w:rsid w:val="00057CD8"/>
    <w:rsid w:val="00060959"/>
    <w:rsid w:val="000609B8"/>
    <w:rsid w:val="000618D5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1790C"/>
    <w:rsid w:val="001202DD"/>
    <w:rsid w:val="00121BD0"/>
    <w:rsid w:val="00121F7F"/>
    <w:rsid w:val="00122472"/>
    <w:rsid w:val="001241AA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8BD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664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168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387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68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4A1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014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6056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6BE7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0D3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A9A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2101"/>
    <w:rsid w:val="005E3C25"/>
    <w:rsid w:val="005E41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155"/>
    <w:rsid w:val="00613278"/>
    <w:rsid w:val="006138E0"/>
    <w:rsid w:val="00613BFA"/>
    <w:rsid w:val="00614799"/>
    <w:rsid w:val="00614D2F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ABB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0092"/>
    <w:rsid w:val="006A1D42"/>
    <w:rsid w:val="006A29D6"/>
    <w:rsid w:val="006A2EC3"/>
    <w:rsid w:val="006A37C9"/>
    <w:rsid w:val="006A3CFD"/>
    <w:rsid w:val="006A3F40"/>
    <w:rsid w:val="006A442A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2226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2C59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607E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0D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76E97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7A9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200E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6EFE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40D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C5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6637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1C25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0F6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BBC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4AE9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6F11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6F2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177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3AA7"/>
    <w:rsid w:val="00D04030"/>
    <w:rsid w:val="00D04349"/>
    <w:rsid w:val="00D048E0"/>
    <w:rsid w:val="00D04CA2"/>
    <w:rsid w:val="00D0573D"/>
    <w:rsid w:val="00D05849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2D"/>
    <w:rsid w:val="00D17BE1"/>
    <w:rsid w:val="00D20446"/>
    <w:rsid w:val="00D20EFA"/>
    <w:rsid w:val="00D2121B"/>
    <w:rsid w:val="00D215BF"/>
    <w:rsid w:val="00D21995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2457"/>
    <w:rsid w:val="00D5331B"/>
    <w:rsid w:val="00D5579C"/>
    <w:rsid w:val="00D56213"/>
    <w:rsid w:val="00D566EA"/>
    <w:rsid w:val="00D56FC3"/>
    <w:rsid w:val="00D578A8"/>
    <w:rsid w:val="00D6162B"/>
    <w:rsid w:val="00D617E9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322"/>
    <w:rsid w:val="00DC2997"/>
    <w:rsid w:val="00DC2BCA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3FF1"/>
    <w:rsid w:val="00E744D4"/>
    <w:rsid w:val="00E74F5E"/>
    <w:rsid w:val="00E75553"/>
    <w:rsid w:val="00E7561A"/>
    <w:rsid w:val="00E75C87"/>
    <w:rsid w:val="00E775EF"/>
    <w:rsid w:val="00E775FA"/>
    <w:rsid w:val="00E7767D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6C7C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BBA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27B4B"/>
    <w:rsid w:val="00F30B00"/>
    <w:rsid w:val="00F31267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74E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1D0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16C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EDA98817-323B-4211-AAB9-36761DD5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84EFC4-78B1-4264-B621-2D1F6A209D4C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2120</Characters>
  <Application>Microsoft Office Word</Application>
  <DocSecurity>0</DocSecurity>
  <Lines>51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romidepsin-Istodax 1859-A SGM 2024</vt:lpstr>
    </vt:vector>
  </TitlesOfParts>
  <Company>PCS Health Systems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romidepsin-Istodax SGM 1859-A</dc:title>
  <dc:subject/>
  <dc:creator>CVS Caremark</dc:creator>
  <cp:keywords/>
  <cp:lastModifiedBy>Huerta, Linda M</cp:lastModifiedBy>
  <cp:revision>3</cp:revision>
  <cp:lastPrinted>2024-04-12T06:16:00Z</cp:lastPrinted>
  <dcterms:created xsi:type="dcterms:W3CDTF">2025-04-23T17:42:00Z</dcterms:created>
  <dcterms:modified xsi:type="dcterms:W3CDTF">2025-04-23T17:43:00Z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946000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